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>## 🛠️ Tmerx Labs: Professional Services &amp; Rendering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The Header (The "Hook")</w:t>
      </w:r>
    </w:p>
    <w:p>
      <w:pPr>
        <w:pStyle w:val="BlockQuotation"/>
        <w:bidi w:val="0"/>
        <w:jc w:val="start"/>
        <w:rPr/>
      </w:pPr>
      <w:r>
        <w:rPr>
          <w:b/>
        </w:rPr>
        <w:t>"Precision in Every Pixel. Excellence in Every Execution."</w:t>
      </w:r>
      <w:r>
        <w:rPr/>
        <w:t xml:space="preserve"> At </w:t>
      </w:r>
      <w:r>
        <w:rPr>
          <w:b/>
        </w:rPr>
        <w:t>Tmerx Labs</w:t>
      </w:r>
      <w:r>
        <w:rPr/>
        <w:t xml:space="preserve">, we don't just provide services—we deliver </w:t>
      </w:r>
      <w:r>
        <w:rPr>
          <w:i/>
        </w:rPr>
        <w:t>Ktēma</w:t>
      </w:r>
      <w:r>
        <w:rPr/>
        <w:t xml:space="preserve"> (lasting value). Whether you are looking for high-end digital rendering, technical consulting, or specialized professional solutions, we bridge the gap between your vision and a finished masterpiece.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Our Service Pillars</w:t>
      </w:r>
    </w:p>
    <w:p>
      <w:pPr>
        <w:pStyle w:val="Heading4"/>
        <w:bidi w:val="0"/>
        <w:jc w:val="start"/>
        <w:rPr>
          <w:b/>
        </w:rPr>
      </w:pPr>
      <w:r>
        <w:rPr>
          <w:b/>
        </w:rPr>
        <w:t>1. High-Fidelity Rendering</w:t>
      </w:r>
    </w:p>
    <w:p>
      <w:pPr>
        <w:pStyle w:val="BodyText"/>
        <w:bidi w:val="0"/>
        <w:jc w:val="start"/>
        <w:rPr/>
      </w:pPr>
      <w:r>
        <w:rPr/>
        <w:t>We bring concepts to life with industry-leading rendering services. From architectural visualization to product prototyping, our "Labs" team ensures that every detail is captured with mathematical precision and aesthetic brilliance.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i/>
        </w:rPr>
      </w:pPr>
      <w:r>
        <w:rPr>
          <w:i/>
        </w:rPr>
        <w:t>Keywords: Visual Excellence, Product Prototyping, 3D Visualization.</w:t>
      </w:r>
    </w:p>
    <w:p>
      <w:pPr>
        <w:pStyle w:val="Heading4"/>
        <w:bidi w:val="0"/>
        <w:jc w:val="start"/>
        <w:rPr>
          <w:b/>
        </w:rPr>
      </w:pPr>
      <w:r>
        <w:rPr>
          <w:b/>
        </w:rPr>
        <w:t>2. Technical Strategy &amp; Consulting</w:t>
      </w:r>
    </w:p>
    <w:p>
      <w:pPr>
        <w:pStyle w:val="BodyText"/>
        <w:bidi w:val="0"/>
        <w:jc w:val="start"/>
        <w:rPr/>
      </w:pPr>
      <w:r>
        <w:rPr/>
        <w:t>Success is built on a solid foundation. Our consulting wing provides the "T-Factor"—the monolithic support your business needs to scale. We offer strategic insights that ensure your projects are not only completed but are sustainable and high-performing.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i/>
        </w:rPr>
      </w:pPr>
      <w:r>
        <w:rPr>
          <w:i/>
        </w:rPr>
        <w:t>Keywords: Strategic Growth, Infrastructure Setup, Performance Optimization.</w:t>
      </w:r>
    </w:p>
    <w:p>
      <w:pPr>
        <w:pStyle w:val="Heading4"/>
        <w:bidi w:val="0"/>
        <w:jc w:val="start"/>
        <w:rPr>
          <w:b/>
        </w:rPr>
      </w:pPr>
      <w:r>
        <w:rPr>
          <w:b/>
        </w:rPr>
        <w:t>3. Custom Business Solutions</w:t>
      </w:r>
    </w:p>
    <w:p>
      <w:pPr>
        <w:pStyle w:val="BodyText"/>
        <w:bidi w:val="0"/>
        <w:jc w:val="start"/>
        <w:rPr/>
      </w:pPr>
      <w:r>
        <w:rPr/>
        <w:t>Every client is unique. We offer bespoke service packages tailored to your specific needs. From e-commerce integration to advanced digital workflows, we render the tools you need to dominate your market.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>
          <w:i/>
        </w:rPr>
      </w:pPr>
      <w:r>
        <w:rPr>
          <w:i/>
        </w:rPr>
        <w:t>Keywords: Bespoke Integration, Workflow Automation, End-to-End Support.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The Tmerx Advantage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The Monolithic Standard:</w:t>
      </w:r>
      <w:r>
        <w:rPr/>
        <w:t xml:space="preserve"> We apply the same rigor to our services as we do to our premium product sourcing.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Purple Tier Support:</w:t>
      </w:r>
      <w:r>
        <w:rPr/>
        <w:t xml:space="preserve"> Our service clients receive dedicated project management and transparent communication from start to finish.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Integrated Ecosystem:</w:t>
      </w:r>
      <w:r>
        <w:rPr/>
        <w:t xml:space="preserve"> Because we understand both </w:t>
      </w:r>
      <w:r>
        <w:rPr>
          <w:b/>
        </w:rPr>
        <w:t>Merx</w:t>
      </w:r>
      <w:r>
        <w:rPr/>
        <w:t xml:space="preserve"> (products) and </w:t>
      </w:r>
      <w:r>
        <w:rPr>
          <w:b/>
        </w:rPr>
        <w:t>Labs</w:t>
      </w:r>
      <w:r>
        <w:rPr/>
        <w:t xml:space="preserve"> (services), we provide a holistic approach that most agencies can't match.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Call to Action (CTA)</w:t>
      </w:r>
    </w:p>
    <w:p>
      <w:pPr>
        <w:pStyle w:val="BlockQuotation"/>
        <w:bidi w:val="0"/>
        <w:jc w:val="start"/>
        <w:rPr/>
      </w:pPr>
      <w:r>
        <w:rPr>
          <w:b/>
        </w:rPr>
        <w:t>Ready to render your next big idea?</w:t>
      </w:r>
      <w:r>
        <w:rPr/>
        <w:t xml:space="preserve"> [</w:t>
      </w:r>
      <w:r>
        <w:rPr>
          <w:b/>
        </w:rPr>
        <w:t>Book a Tmerx Labs Consultation</w:t>
      </w:r>
      <w:r>
        <w:rPr/>
        <w:t xml:space="preserve">] (Button) </w:t>
      </w:r>
      <w:r>
        <w:rPr>
          <w:i/>
        </w:rPr>
        <w:t>Trade your challenges for Tmerx solutions.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Final Pro-Tip for your Website:</w:t>
      </w:r>
    </w:p>
    <w:p>
      <w:pPr>
        <w:pStyle w:val="BodyText"/>
        <w:bidi w:val="0"/>
        <w:jc w:val="start"/>
        <w:rPr/>
      </w:pPr>
      <w:r>
        <w:rPr/>
        <w:t xml:space="preserve">On your homepage, place the </w:t>
      </w:r>
      <w:r>
        <w:rPr>
          <w:b/>
        </w:rPr>
        <w:t>Tmerx Store</w:t>
      </w:r>
      <w:r>
        <w:rPr/>
        <w:t xml:space="preserve"> and </w:t>
      </w:r>
      <w:r>
        <w:rPr>
          <w:b/>
        </w:rPr>
        <w:t>Tmerx Labs</w:t>
      </w:r>
      <w:r>
        <w:rPr/>
        <w:t xml:space="preserve"> side-by-side using two high-quality purple-themed cards.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Left Card:</w:t>
      </w:r>
      <w:r>
        <w:rPr/>
        <w:t xml:space="preserve"> A sleek image of a physical product (The Merchandise).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Right Card:</w:t>
      </w:r>
      <w:r>
        <w:rPr/>
        <w:t xml:space="preserve"> A sleek image of a digital wireframe or a person at a high-end workstation (The Service).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bidi w:val="0"/>
        <w:jc w:val="start"/>
        <w:rPr/>
      </w:pPr>
      <w:r>
        <w:rPr/>
        <w:t>## 🏗️ Tmerx Labs | Technical Specifications &amp; Standards</w:t>
      </w:r>
    </w:p>
    <w:p>
      <w:pPr>
        <w:pStyle w:val="BodyText"/>
        <w:bidi w:val="0"/>
        <w:jc w:val="start"/>
        <w:rPr/>
      </w:pPr>
      <w:r>
        <w:rPr/>
        <w:t xml:space="preserve">At </w:t>
      </w:r>
      <w:r>
        <w:rPr>
          <w:b/>
        </w:rPr>
        <w:t>Tmerx Labs</w:t>
      </w:r>
      <w:r>
        <w:rPr/>
        <w:t>, we utilize a high-performance pipeline to ensure that every render is a "Possession of Quality." We combine raw computing power with artistic precision to meet the most demanding industry standards.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1. Rendering Engines &amp; Fidelity</w:t>
      </w:r>
    </w:p>
    <w:p>
      <w:pPr>
        <w:pStyle w:val="BodyText"/>
        <w:bidi w:val="0"/>
        <w:jc w:val="start"/>
        <w:rPr/>
      </w:pPr>
      <w:r>
        <w:rPr/>
        <w:t>We utilize industry-standard ray-tracing and path-tracing engines to achieve photorealistic results.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Engines:</w:t>
      </w:r>
      <w:r>
        <w:rPr/>
        <w:t xml:space="preserve"> V-Ray, Corona Renderer, and OctaneRender for ultra-realistic lighting.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Real-time Rendering:</w:t>
      </w:r>
      <w:r>
        <w:rPr/>
        <w:t xml:space="preserve"> Unreal Engine 5 (Lumen &amp; Nanite technology) for interactive and architectural walk-throughs.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Output Quality:</w:t>
      </w:r>
      <w:r>
        <w:rPr/>
        <w:t xml:space="preserve"> Standard delivery at </w:t>
      </w:r>
      <w:r>
        <w:rPr>
          <w:b/>
        </w:rPr>
        <w:t>4K (Ultra HD)</w:t>
      </w:r>
      <w:r>
        <w:rPr/>
        <w:t xml:space="preserve"> with options for </w:t>
      </w:r>
      <w:r>
        <w:rPr>
          <w:b/>
        </w:rPr>
        <w:t>8K print-ready</w:t>
      </w:r>
      <w:r>
        <w:rPr/>
        <w:t xml:space="preserve"> resolutions.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2. Modeling &amp; Geometry</w:t>
      </w:r>
    </w:p>
    <w:p>
      <w:pPr>
        <w:pStyle w:val="BodyText"/>
        <w:bidi w:val="0"/>
        <w:jc w:val="start"/>
        <w:rPr/>
      </w:pPr>
      <w:r>
        <w:rPr/>
        <w:t>Our "Merx" philosophy extends to the digital structure of our work.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Precision:</w:t>
      </w:r>
      <w:r>
        <w:rPr/>
        <w:t xml:space="preserve"> Mathematical accuracy in 1:1 scale modeling for architectural and product designs.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Topology:</w:t>
      </w:r>
      <w:r>
        <w:rPr/>
        <w:t xml:space="preserve"> Clean, optimized mesh flow (quad-dominant) for seamless animation and lighting behavior.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Formats Supported:</w:t>
      </w:r>
      <w:r>
        <w:rPr/>
        <w:t xml:space="preserve"> .OBJ, .FBX, .STL (for 3D Printing), and .MAX / .C4D source files.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3. Materiality &amp; Texturing (PBR Workflow)</w:t>
      </w:r>
    </w:p>
    <w:p>
      <w:pPr>
        <w:pStyle w:val="BodyText"/>
        <w:bidi w:val="0"/>
        <w:jc w:val="start"/>
        <w:rPr/>
      </w:pPr>
      <w:r>
        <w:rPr/>
        <w:t xml:space="preserve">We use a </w:t>
      </w:r>
      <w:r>
        <w:rPr>
          <w:b/>
        </w:rPr>
        <w:t>Physically Based Rendering (PBR)</w:t>
      </w:r>
      <w:r>
        <w:rPr/>
        <w:t xml:space="preserve"> workflow to ensure materials react to light exactly as they do in the real world.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Texture Maps:</w:t>
      </w:r>
      <w:r>
        <w:rPr/>
        <w:t xml:space="preserve"> 4K/8K diffuse, normal, roughness, and displacement maps.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Accuracy:</w:t>
      </w:r>
      <w:r>
        <w:rPr/>
        <w:t xml:space="preserve"> Real-world Refractive Index (IOR) values applied to glass, metals, and liquids.</w:t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4. Hardware &amp; Processing Power</w:t>
      </w:r>
    </w:p>
    <w:p>
      <w:pPr>
        <w:pStyle w:val="BodyText"/>
        <w:bidi w:val="0"/>
        <w:jc w:val="start"/>
        <w:rPr/>
      </w:pPr>
      <w:r>
        <w:rPr/>
        <w:t xml:space="preserve">Your projects are processed on our dedicated </w:t>
      </w:r>
      <w:r>
        <w:rPr>
          <w:b/>
        </w:rPr>
        <w:t>Tmerx Render-Grid</w:t>
      </w:r>
      <w:r>
        <w:rPr/>
        <w:t>, ensuring fast turnaround times without compromising quality.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GPU Accelerated:</w:t>
      </w:r>
      <w:r>
        <w:rPr/>
        <w:t xml:space="preserve"> Multi-RTX architecture for rapid frame generation.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b/>
        </w:rPr>
        <w:t>Cloud Integration:</w:t>
      </w:r>
      <w:r>
        <w:rPr/>
        <w:t xml:space="preserve"> Scalable rendering for large-scale animations and complex environmental simulations.</w:t>
      </w:r>
    </w:p>
    <w:p>
      <w:pPr>
        <w:pStyle w:val="HorizontalLine"/>
        <w:bidi w:val="0"/>
        <w:jc w:val="start"/>
        <w:rPr/>
      </w:pPr>
      <w:r>
        <w:rPr/>
      </w:r>
    </w:p>
    <w:p>
      <w:pPr>
        <w:pStyle w:val="Heading3"/>
        <w:bidi w:val="0"/>
        <w:jc w:val="start"/>
        <w:rPr>
          <w:b/>
        </w:rPr>
      </w:pPr>
      <w:r>
        <w:rPr>
          <w:b/>
        </w:rPr>
        <w:t>The Tmerx Quality Seal</w:t>
      </w:r>
    </w:p>
    <w:p>
      <w:pPr>
        <w:pStyle w:val="BlockQuotation"/>
        <w:bidi w:val="0"/>
        <w:jc w:val="start"/>
        <w:rPr/>
      </w:pPr>
      <w:r>
        <w:rPr/>
        <w:t xml:space="preserve">Every file delivered by </w:t>
      </w:r>
      <w:r>
        <w:rPr>
          <w:b/>
        </w:rPr>
        <w:t>Tmerx Labs</w:t>
      </w:r>
      <w:r>
        <w:rPr/>
        <w:t xml:space="preserve"> undergoes a </w:t>
      </w:r>
      <w:r>
        <w:rPr>
          <w:b/>
        </w:rPr>
        <w:t>3-point verification process</w:t>
      </w:r>
      <w:r>
        <w:rPr/>
        <w:t>:</w:t>
      </w:r>
    </w:p>
    <w:p>
      <w:pPr>
        <w:pStyle w:val="BlockQuotation"/>
        <w:numPr>
          <w:ilvl w:val="0"/>
          <w:numId w:val="10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>
          <w:b/>
        </w:rPr>
        <w:t>Geometry Audit:</w:t>
      </w:r>
      <w:r>
        <w:rPr/>
        <w:t xml:space="preserve"> Ensuring zero mesh errors.</w:t>
      </w:r>
    </w:p>
    <w:p>
      <w:pPr>
        <w:pStyle w:val="BlockQuotation"/>
        <w:numPr>
          <w:ilvl w:val="0"/>
          <w:numId w:val="10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>
          <w:b/>
        </w:rPr>
        <w:t>Color Calibration:</w:t>
      </w:r>
      <w:r>
        <w:rPr/>
        <w:t xml:space="preserve"> Ensuring accuracy for both digital displays and physical print.</w:t>
      </w:r>
    </w:p>
    <w:p>
      <w:pPr>
        <w:pStyle w:val="BlockQuotation"/>
        <w:numPr>
          <w:ilvl w:val="0"/>
          <w:numId w:val="10"/>
        </w:numPr>
        <w:tabs>
          <w:tab w:val="clear" w:pos="709"/>
          <w:tab w:val="left" w:pos="1276" w:leader="none"/>
        </w:tabs>
        <w:bidi w:val="0"/>
        <w:ind w:hanging="283" w:start="1276"/>
        <w:jc w:val="start"/>
        <w:rPr/>
      </w:pPr>
      <w:r>
        <w:rPr>
          <w:b/>
        </w:rPr>
        <w:t>Optimization Check:</w:t>
      </w:r>
      <w:r>
        <w:rPr/>
        <w:t xml:space="preserve"> Ensuring the file is "performance-ready" for its intended use.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BodyText"/>
    <w:qFormat/>
    <w:pPr>
      <w:spacing w:before="200" w:after="120"/>
      <w:outlineLvl w:val="1"/>
    </w:pPr>
    <w:rPr>
      <w:rFonts w:ascii="Liberation Serif" w:hAnsi="Liberation Serif" w:eastAsia="Noto Serif CJK SC" w:cs="Noto Sans Devanagari"/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Noto Sans Devanagari"/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spacing w:before="120" w:after="120"/>
      <w:outlineLvl w:val="3"/>
    </w:pPr>
    <w:rPr>
      <w:rFonts w:ascii="Liberation Serif" w:hAnsi="Liberation Serif" w:eastAsia="Noto Serif CJK SC" w:cs="Noto Sans Devanagari"/>
      <w:b/>
      <w:bCs/>
      <w:sz w:val="24"/>
      <w:szCs w:val="24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LibreOffice/24.2.7.2$Linux_X86_64 LibreOffice_project/420$Build-2</Application>
  <AppVersion>15.0000</AppVersion>
  <Pages>3</Pages>
  <Words>627</Words>
  <Characters>3721</Characters>
  <CharactersWithSpaces>4277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2026-02-14T11:47:14Z</dcterms:created>
  <dc:creator/>
  <dc:description/>
  <dc:language>en-US</dc:language>
  <cp:lastModifiedBy/>
  <dcterms:modified xsi:type="dcterms:W3CDTF">2026-02-14T11:51:46Z</dcterms:modified>
  <cp:revision>1</cp:revision>
  <dc:subject/>
  <dc:title/>
</cp:coreProperties>
</file>